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0EE65" w14:textId="6AB7964B" w:rsidR="005E37B3" w:rsidRPr="00AE327B" w:rsidRDefault="00F46EBE" w:rsidP="00AE327B">
      <w:pPr>
        <w:pStyle w:val="PaperTitleNBRUC"/>
        <w:rPr>
          <w:color w:val="FF0000"/>
        </w:rPr>
      </w:pPr>
      <w:r w:rsidRPr="00AE327B">
        <w:rPr>
          <w:color w:val="FF0000"/>
        </w:rPr>
        <w:t>***</w:t>
      </w:r>
      <w:r w:rsidR="004D4BD6" w:rsidRPr="00AE327B">
        <w:rPr>
          <w:color w:val="FF0000"/>
        </w:rPr>
        <w:t xml:space="preserve">PAPER TEMPLATE / </w:t>
      </w:r>
      <w:r w:rsidR="00F77866" w:rsidRPr="00AE327B">
        <w:rPr>
          <w:color w:val="FF0000"/>
        </w:rPr>
        <w:t>EXAMPLE NBRUC ONE PAGE PAPER</w:t>
      </w:r>
      <w:r w:rsidRPr="00AE327B">
        <w:rPr>
          <w:color w:val="FF0000"/>
        </w:rPr>
        <w:t>***</w:t>
      </w:r>
    </w:p>
    <w:p w14:paraId="70F8BF22" w14:textId="3A417374" w:rsidR="009F0708" w:rsidRPr="00BB0FE9" w:rsidRDefault="009F0708" w:rsidP="00BB0FE9">
      <w:pPr>
        <w:pStyle w:val="PaperTitleNBRUC"/>
      </w:pPr>
      <w:r>
        <w:t>Reduced costs when using recommended bull to female mating ratios</w:t>
      </w:r>
    </w:p>
    <w:p w14:paraId="72FB8B1A" w14:textId="77777777" w:rsidR="00C37A24" w:rsidRDefault="009F0708" w:rsidP="00C16616">
      <w:pPr>
        <w:pStyle w:val="AuthorNBRUC"/>
        <w:rPr>
          <w:vertAlign w:val="superscript"/>
        </w:rPr>
      </w:pPr>
      <w:r>
        <w:t>Dave</w:t>
      </w:r>
      <w:r w:rsidRPr="00553463">
        <w:t xml:space="preserve"> Smith </w:t>
      </w:r>
      <w:proofErr w:type="gramStart"/>
      <w:r w:rsidRPr="00553463">
        <w:rPr>
          <w:vertAlign w:val="superscript"/>
        </w:rPr>
        <w:t>A</w:t>
      </w:r>
      <w:r>
        <w:rPr>
          <w:vertAlign w:val="superscript"/>
        </w:rPr>
        <w:t>,D</w:t>
      </w:r>
      <w:proofErr w:type="gramEnd"/>
      <w:r>
        <w:t>,</w:t>
      </w:r>
      <w:r w:rsidRPr="00553463">
        <w:t xml:space="preserve"> Geoffry Fordyce </w:t>
      </w:r>
      <w:r w:rsidRPr="00553463">
        <w:rPr>
          <w:vertAlign w:val="superscript"/>
        </w:rPr>
        <w:t>B</w:t>
      </w:r>
      <w:r>
        <w:t xml:space="preserve">, </w:t>
      </w:r>
      <w:r w:rsidRPr="00553463">
        <w:t xml:space="preserve">Timothy Moravek </w:t>
      </w:r>
      <w:r w:rsidRPr="00553463">
        <w:rPr>
          <w:vertAlign w:val="superscript"/>
        </w:rPr>
        <w:t>A</w:t>
      </w:r>
      <w:r w:rsidRPr="00553463">
        <w:t xml:space="preserve">, </w:t>
      </w:r>
      <w:r>
        <w:t xml:space="preserve">Doug O’Neill </w:t>
      </w:r>
      <w:r w:rsidRPr="00893DDB">
        <w:rPr>
          <w:vertAlign w:val="superscript"/>
        </w:rPr>
        <w:t>C</w:t>
      </w:r>
    </w:p>
    <w:p w14:paraId="1D23D996" w14:textId="22F64890" w:rsidR="009F0708" w:rsidRPr="00C16616" w:rsidRDefault="009F0708" w:rsidP="00C16616">
      <w:pPr>
        <w:pStyle w:val="AffliationsNBRUC"/>
        <w:rPr>
          <w:sz w:val="24"/>
          <w:vertAlign w:val="superscript"/>
        </w:rPr>
      </w:pPr>
      <w:r w:rsidRPr="00C37A24">
        <w:rPr>
          <w:vertAlign w:val="superscript"/>
        </w:rPr>
        <w:t>A</w:t>
      </w:r>
      <w:r w:rsidRPr="00C37A24">
        <w:t xml:space="preserve"> Department of Agriculture and Fisheries, Charters Towers 4820; </w:t>
      </w:r>
      <w:r w:rsidRPr="00C37A24">
        <w:rPr>
          <w:vertAlign w:val="superscript"/>
        </w:rPr>
        <w:t>B</w:t>
      </w:r>
      <w:r w:rsidRPr="00C37A24">
        <w:t xml:space="preserve"> QAAFI, UQ, St Lucia </w:t>
      </w:r>
      <w:proofErr w:type="gramStart"/>
      <w:r w:rsidRPr="00C37A24">
        <w:t xml:space="preserve">4072; </w:t>
      </w:r>
      <w:r w:rsidR="00C16616">
        <w:rPr>
          <w:sz w:val="24"/>
          <w:vertAlign w:val="superscript"/>
        </w:rPr>
        <w:t xml:space="preserve"> </w:t>
      </w:r>
      <w:r w:rsidRPr="00C37A24">
        <w:rPr>
          <w:vertAlign w:val="superscript"/>
        </w:rPr>
        <w:t>C</w:t>
      </w:r>
      <w:proofErr w:type="gramEnd"/>
      <w:r w:rsidRPr="00C37A24">
        <w:t xml:space="preserve"> Mt </w:t>
      </w:r>
      <w:proofErr w:type="spellStart"/>
      <w:r w:rsidRPr="00C37A24">
        <w:t>Oweenee</w:t>
      </w:r>
      <w:proofErr w:type="spellEnd"/>
      <w:r w:rsidRPr="00C37A24">
        <w:t>, Charters Towers, Qld 4820</w:t>
      </w:r>
    </w:p>
    <w:p w14:paraId="54E03C7B" w14:textId="3D4F0FF4" w:rsidR="00590EE0" w:rsidRDefault="00590EE0" w:rsidP="00590EE0">
      <w:pPr>
        <w:pStyle w:val="HeadingsNBRUC"/>
      </w:pPr>
      <w:r>
        <w:t>Introduction</w:t>
      </w:r>
    </w:p>
    <w:p w14:paraId="372FA07E" w14:textId="00EAE941" w:rsidR="006A5C0F" w:rsidRPr="006A5C0F" w:rsidRDefault="00590EE0" w:rsidP="006A5C0F">
      <w:pPr>
        <w:pStyle w:val="NormalNBRUC"/>
      </w:pPr>
      <w:r w:rsidRPr="00C178AA">
        <w:t xml:space="preserve">The Bull Power project (Holroyd </w:t>
      </w:r>
      <w:r w:rsidRPr="00C178AA">
        <w:rPr>
          <w:i/>
        </w:rPr>
        <w:t>et al</w:t>
      </w:r>
      <w:r w:rsidRPr="00C178AA">
        <w:t xml:space="preserve">. 2000) concluded that multiple-sire mating using </w:t>
      </w:r>
      <w:proofErr w:type="gramStart"/>
      <w:r w:rsidRPr="00C178AA">
        <w:t>tropically-adapted</w:t>
      </w:r>
      <w:proofErr w:type="gramEnd"/>
      <w:r w:rsidRPr="00C178AA">
        <w:t xml:space="preserve"> bulls that are reproductively sound at a rate of 2.5% of cycling females will not jeopardise herd fertility under most conditions in extensive parts of northern Australia where it is still common for producers to use 4-5% bulls. An opportunity to assess the recommended mating ratio arose within a heifer productivity demonstration study north of Charters Towers (Qld).</w:t>
      </w:r>
    </w:p>
    <w:p w14:paraId="6BE1FE68" w14:textId="77777777" w:rsidR="00590EE0" w:rsidRDefault="00590EE0" w:rsidP="00590EE0">
      <w:pPr>
        <w:pStyle w:val="HeadingsNBRUC"/>
        <w:tabs>
          <w:tab w:val="left" w:pos="4044"/>
        </w:tabs>
      </w:pPr>
      <w:r>
        <w:t>Methods</w:t>
      </w:r>
      <w:r>
        <w:tab/>
      </w:r>
    </w:p>
    <w:p w14:paraId="3FF717BF" w14:textId="08BE2A37" w:rsidR="00590EE0" w:rsidRPr="00BB0FE9" w:rsidRDefault="00590EE0" w:rsidP="006A5C0F">
      <w:pPr>
        <w:pStyle w:val="NormalNBRUC"/>
        <w:rPr>
          <w:lang w:eastAsia="en-AU"/>
        </w:rPr>
      </w:pPr>
      <w:r w:rsidRPr="00C178AA">
        <w:rPr>
          <w:lang w:eastAsia="en-AU"/>
        </w:rPr>
        <w:t>Pre- and post-mating monitoring of 334 two-year-</w:t>
      </w:r>
      <w:r w:rsidRPr="006A5C0F">
        <w:t>old</w:t>
      </w:r>
      <w:r w:rsidRPr="00C178AA">
        <w:rPr>
          <w:lang w:eastAsia="en-AU"/>
        </w:rPr>
        <w:t xml:space="preserve"> Brahman and crossbred heifers grazing a 2600 ha undulating paddock included pre-mating ovarian scanning and live weight. All bulls used had passed a full BBSE including sperm morphology, had above breed average scrotal size for their weight and were vaccinated against vibriosis.  Heifers were sampled for BVDV antibody.  Four-month mating commenced in mid-January 2014.  Rather than using previous practice of a </w:t>
      </w:r>
      <w:proofErr w:type="spellStart"/>
      <w:r w:rsidRPr="00C178AA">
        <w:rPr>
          <w:lang w:eastAsia="en-AU"/>
        </w:rPr>
        <w:t>bull:heifer</w:t>
      </w:r>
      <w:proofErr w:type="spellEnd"/>
      <w:r w:rsidRPr="00C178AA">
        <w:rPr>
          <w:lang w:eastAsia="en-AU"/>
        </w:rPr>
        <w:t xml:space="preserve"> ratio of ~4% (Option A, Table 1), 2.5% bulls to cycling heifers was used.</w:t>
      </w:r>
    </w:p>
    <w:p w14:paraId="0556DC3F" w14:textId="77777777" w:rsidR="00590EE0" w:rsidRDefault="00590EE0" w:rsidP="00590EE0">
      <w:pPr>
        <w:pStyle w:val="HeadingsNBRUC"/>
      </w:pPr>
      <w:r>
        <w:t>Results</w:t>
      </w:r>
    </w:p>
    <w:p w14:paraId="484916D8" w14:textId="77777777" w:rsidR="000F0573" w:rsidRDefault="00590EE0" w:rsidP="000F0573">
      <w:pPr>
        <w:pStyle w:val="NormalNBRUC"/>
        <w:rPr>
          <w:lang w:eastAsia="en-AU"/>
        </w:rPr>
      </w:pPr>
      <w:r w:rsidRPr="00C178AA">
        <w:rPr>
          <w:lang w:eastAsia="en-AU"/>
        </w:rPr>
        <w:t xml:space="preserve">Average pre- and post-mating heifer live weights were 291 kg (190-389 kg) and 397 kg (298-512 kg), respectively.   Pre-mating (December) ovarian scanning indicated 51% of heifers were cycling or about to cycle, with the expectation that more heifers would cycle as they grew.  Bulls mated equated to only 1% of heifers (Option B, Table 1).  No adverse effect on pregnancy rates occurred with 70% achieved, </w:t>
      </w:r>
      <w:proofErr w:type="gramStart"/>
      <w:r w:rsidRPr="00C178AA">
        <w:rPr>
          <w:lang w:eastAsia="en-AU"/>
        </w:rPr>
        <w:t>similar to</w:t>
      </w:r>
      <w:proofErr w:type="gramEnd"/>
      <w:r w:rsidRPr="00C178AA">
        <w:rPr>
          <w:lang w:eastAsia="en-AU"/>
        </w:rPr>
        <w:t xml:space="preserve"> preceding years: </w:t>
      </w:r>
      <w:r w:rsidRPr="00C178AA">
        <w:t>65-70%</w:t>
      </w:r>
      <w:r w:rsidRPr="00C178AA">
        <w:rPr>
          <w:lang w:eastAsia="en-AU"/>
        </w:rPr>
        <w:t xml:space="preserve">. Nil </w:t>
      </w:r>
      <w:proofErr w:type="spellStart"/>
      <w:r w:rsidRPr="00C178AA">
        <w:rPr>
          <w:lang w:eastAsia="en-AU"/>
        </w:rPr>
        <w:t>pestivirus</w:t>
      </w:r>
      <w:proofErr w:type="spellEnd"/>
      <w:r w:rsidRPr="00C178AA">
        <w:rPr>
          <w:lang w:eastAsia="en-AU"/>
        </w:rPr>
        <w:t xml:space="preserve"> activity was recorded.</w:t>
      </w:r>
    </w:p>
    <w:p w14:paraId="4B60366E" w14:textId="3D462D6A" w:rsidR="00590EE0" w:rsidRPr="000F0573" w:rsidRDefault="00590EE0" w:rsidP="000F0573">
      <w:pPr>
        <w:pStyle w:val="FigureTableHeadingsNBRUC"/>
        <w:rPr>
          <w:lang w:eastAsia="en-AU"/>
        </w:rPr>
      </w:pPr>
      <w:r w:rsidRPr="00C178AA">
        <w:t xml:space="preserve">Table </w:t>
      </w:r>
      <w:r w:rsidR="00210FC8">
        <w:t>1</w:t>
      </w:r>
      <w:r w:rsidRPr="00C178AA">
        <w:t>. The financial impact of reduced bull power.</w:t>
      </w:r>
    </w:p>
    <w:tbl>
      <w:tblPr>
        <w:tblW w:w="8899" w:type="dxa"/>
        <w:jc w:val="center"/>
        <w:tblBorders>
          <w:top w:val="single" w:sz="4" w:space="0" w:color="auto"/>
          <w:bottom w:val="single" w:sz="4" w:space="0" w:color="auto"/>
        </w:tblBorders>
        <w:tblLook w:val="01E0" w:firstRow="1" w:lastRow="1" w:firstColumn="1" w:lastColumn="1" w:noHBand="0" w:noVBand="0"/>
      </w:tblPr>
      <w:tblGrid>
        <w:gridCol w:w="3743"/>
        <w:gridCol w:w="2578"/>
        <w:gridCol w:w="2578"/>
      </w:tblGrid>
      <w:tr w:rsidR="00590EE0" w:rsidRPr="008102BB" w14:paraId="5C1AC2EF" w14:textId="77777777" w:rsidTr="00345DB7">
        <w:trPr>
          <w:jc w:val="center"/>
        </w:trPr>
        <w:tc>
          <w:tcPr>
            <w:tcW w:w="3743" w:type="dxa"/>
            <w:tcBorders>
              <w:bottom w:val="single" w:sz="4" w:space="0" w:color="auto"/>
            </w:tcBorders>
            <w:shd w:val="clear" w:color="auto" w:fill="auto"/>
          </w:tcPr>
          <w:p w14:paraId="4514EC88" w14:textId="77777777" w:rsidR="00590EE0" w:rsidRPr="00255E47" w:rsidRDefault="00590EE0" w:rsidP="00AE327B">
            <w:pPr>
              <w:pStyle w:val="NormalNBRUC"/>
              <w:jc w:val="center"/>
            </w:pPr>
          </w:p>
        </w:tc>
        <w:tc>
          <w:tcPr>
            <w:tcW w:w="2578" w:type="dxa"/>
            <w:tcBorders>
              <w:bottom w:val="single" w:sz="4" w:space="0" w:color="auto"/>
            </w:tcBorders>
            <w:shd w:val="clear" w:color="auto" w:fill="auto"/>
          </w:tcPr>
          <w:p w14:paraId="4EC2FDB0" w14:textId="4D48ED1B" w:rsidR="00590EE0" w:rsidRDefault="00590EE0" w:rsidP="00AE327B">
            <w:pPr>
              <w:pStyle w:val="NormalNBRUC"/>
              <w:jc w:val="center"/>
              <w:rPr>
                <w:sz w:val="20"/>
                <w:szCs w:val="20"/>
              </w:rPr>
            </w:pPr>
            <w:r>
              <w:rPr>
                <w:sz w:val="20"/>
                <w:szCs w:val="20"/>
              </w:rPr>
              <w:t>Option A</w:t>
            </w:r>
          </w:p>
        </w:tc>
        <w:tc>
          <w:tcPr>
            <w:tcW w:w="2578" w:type="dxa"/>
            <w:tcBorders>
              <w:bottom w:val="single" w:sz="4" w:space="0" w:color="auto"/>
            </w:tcBorders>
            <w:shd w:val="clear" w:color="auto" w:fill="auto"/>
          </w:tcPr>
          <w:p w14:paraId="298B3270" w14:textId="77777777" w:rsidR="00590EE0" w:rsidRDefault="00590EE0" w:rsidP="00AE327B">
            <w:pPr>
              <w:pStyle w:val="NormalNBRUC"/>
              <w:jc w:val="center"/>
              <w:rPr>
                <w:sz w:val="20"/>
                <w:szCs w:val="20"/>
              </w:rPr>
            </w:pPr>
            <w:r>
              <w:rPr>
                <w:sz w:val="20"/>
                <w:szCs w:val="20"/>
              </w:rPr>
              <w:t>Option B</w:t>
            </w:r>
          </w:p>
        </w:tc>
      </w:tr>
      <w:tr w:rsidR="00590EE0" w:rsidRPr="008102BB" w14:paraId="4673EAAE" w14:textId="77777777" w:rsidTr="00345DB7">
        <w:trPr>
          <w:jc w:val="center"/>
        </w:trPr>
        <w:tc>
          <w:tcPr>
            <w:tcW w:w="3743" w:type="dxa"/>
            <w:shd w:val="clear" w:color="auto" w:fill="auto"/>
          </w:tcPr>
          <w:p w14:paraId="09B53946" w14:textId="77777777" w:rsidR="00590EE0" w:rsidRDefault="00590EE0" w:rsidP="00AE327B">
            <w:pPr>
              <w:pStyle w:val="NormalNBRUC"/>
              <w:jc w:val="left"/>
              <w:rPr>
                <w:sz w:val="20"/>
                <w:szCs w:val="20"/>
              </w:rPr>
            </w:pPr>
            <w:r>
              <w:rPr>
                <w:sz w:val="20"/>
                <w:szCs w:val="20"/>
              </w:rPr>
              <w:t>Number of bulls mated</w:t>
            </w:r>
          </w:p>
        </w:tc>
        <w:tc>
          <w:tcPr>
            <w:tcW w:w="2578" w:type="dxa"/>
            <w:shd w:val="clear" w:color="auto" w:fill="auto"/>
          </w:tcPr>
          <w:p w14:paraId="0862DBDE" w14:textId="77777777" w:rsidR="00590EE0" w:rsidRDefault="00590EE0" w:rsidP="00AE327B">
            <w:pPr>
              <w:pStyle w:val="NormalNBRUC"/>
              <w:jc w:val="center"/>
              <w:rPr>
                <w:sz w:val="20"/>
                <w:szCs w:val="20"/>
              </w:rPr>
            </w:pPr>
            <w:r>
              <w:rPr>
                <w:sz w:val="20"/>
                <w:szCs w:val="20"/>
              </w:rPr>
              <w:t>12 (~4%)</w:t>
            </w:r>
          </w:p>
        </w:tc>
        <w:tc>
          <w:tcPr>
            <w:tcW w:w="2578" w:type="dxa"/>
            <w:shd w:val="clear" w:color="auto" w:fill="auto"/>
          </w:tcPr>
          <w:p w14:paraId="53999848" w14:textId="77777777" w:rsidR="00590EE0" w:rsidRDefault="00590EE0" w:rsidP="00AE327B">
            <w:pPr>
              <w:pStyle w:val="NormalNBRUC"/>
              <w:jc w:val="center"/>
              <w:rPr>
                <w:sz w:val="20"/>
                <w:szCs w:val="20"/>
              </w:rPr>
            </w:pPr>
            <w:r>
              <w:rPr>
                <w:sz w:val="20"/>
                <w:szCs w:val="20"/>
              </w:rPr>
              <w:t>4 (1%)</w:t>
            </w:r>
          </w:p>
        </w:tc>
      </w:tr>
      <w:tr w:rsidR="00590EE0" w:rsidRPr="008102BB" w14:paraId="3CF36734" w14:textId="77777777" w:rsidTr="00345DB7">
        <w:trPr>
          <w:trHeight w:val="270"/>
          <w:jc w:val="center"/>
        </w:trPr>
        <w:tc>
          <w:tcPr>
            <w:tcW w:w="3743" w:type="dxa"/>
            <w:shd w:val="clear" w:color="auto" w:fill="auto"/>
          </w:tcPr>
          <w:p w14:paraId="67FEFDF5" w14:textId="77777777" w:rsidR="00590EE0" w:rsidRDefault="00590EE0" w:rsidP="00AE327B">
            <w:pPr>
              <w:pStyle w:val="NormalNBRUC"/>
              <w:jc w:val="left"/>
              <w:rPr>
                <w:i/>
                <w:sz w:val="20"/>
                <w:szCs w:val="20"/>
              </w:rPr>
            </w:pPr>
            <w:r>
              <w:rPr>
                <w:sz w:val="20"/>
                <w:szCs w:val="20"/>
              </w:rPr>
              <w:t>Capital cost @ $3,000/bull</w:t>
            </w:r>
          </w:p>
        </w:tc>
        <w:tc>
          <w:tcPr>
            <w:tcW w:w="2578" w:type="dxa"/>
            <w:shd w:val="clear" w:color="auto" w:fill="auto"/>
          </w:tcPr>
          <w:p w14:paraId="3C619DA9" w14:textId="77777777" w:rsidR="00590EE0" w:rsidRDefault="00590EE0" w:rsidP="00AE327B">
            <w:pPr>
              <w:pStyle w:val="NormalNBRUC"/>
              <w:jc w:val="center"/>
              <w:rPr>
                <w:sz w:val="20"/>
                <w:szCs w:val="20"/>
              </w:rPr>
            </w:pPr>
            <w:r>
              <w:rPr>
                <w:sz w:val="20"/>
                <w:szCs w:val="20"/>
              </w:rPr>
              <w:t>$36,000</w:t>
            </w:r>
          </w:p>
        </w:tc>
        <w:tc>
          <w:tcPr>
            <w:tcW w:w="2578" w:type="dxa"/>
            <w:shd w:val="clear" w:color="auto" w:fill="auto"/>
          </w:tcPr>
          <w:p w14:paraId="07EA2754" w14:textId="77777777" w:rsidR="00590EE0" w:rsidRDefault="00590EE0" w:rsidP="00AE327B">
            <w:pPr>
              <w:pStyle w:val="NormalNBRUC"/>
              <w:jc w:val="center"/>
              <w:rPr>
                <w:sz w:val="20"/>
                <w:szCs w:val="20"/>
              </w:rPr>
            </w:pPr>
            <w:r>
              <w:rPr>
                <w:sz w:val="20"/>
                <w:szCs w:val="20"/>
              </w:rPr>
              <w:t>$12,000</w:t>
            </w:r>
          </w:p>
        </w:tc>
      </w:tr>
      <w:tr w:rsidR="00590EE0" w:rsidRPr="008102BB" w14:paraId="024E382D" w14:textId="77777777" w:rsidTr="00345DB7">
        <w:trPr>
          <w:trHeight w:val="290"/>
          <w:jc w:val="center"/>
        </w:trPr>
        <w:tc>
          <w:tcPr>
            <w:tcW w:w="3743" w:type="dxa"/>
            <w:shd w:val="clear" w:color="auto" w:fill="auto"/>
          </w:tcPr>
          <w:p w14:paraId="60CB1DBD" w14:textId="77777777" w:rsidR="00590EE0" w:rsidRDefault="00590EE0" w:rsidP="00AE327B">
            <w:pPr>
              <w:pStyle w:val="NormalNBRUC"/>
              <w:jc w:val="left"/>
              <w:rPr>
                <w:sz w:val="20"/>
                <w:szCs w:val="20"/>
              </w:rPr>
            </w:pPr>
            <w:r>
              <w:rPr>
                <w:sz w:val="20"/>
                <w:szCs w:val="20"/>
              </w:rPr>
              <w:t>Net annual bull cost ($434/yr)</w:t>
            </w:r>
          </w:p>
        </w:tc>
        <w:tc>
          <w:tcPr>
            <w:tcW w:w="2578" w:type="dxa"/>
            <w:shd w:val="clear" w:color="auto" w:fill="auto"/>
          </w:tcPr>
          <w:p w14:paraId="6B40D26B" w14:textId="77777777" w:rsidR="00590EE0" w:rsidRDefault="00590EE0" w:rsidP="00AE327B">
            <w:pPr>
              <w:pStyle w:val="NormalNBRUC"/>
              <w:jc w:val="center"/>
              <w:rPr>
                <w:sz w:val="20"/>
                <w:szCs w:val="20"/>
              </w:rPr>
            </w:pPr>
            <w:r>
              <w:rPr>
                <w:sz w:val="20"/>
                <w:szCs w:val="20"/>
              </w:rPr>
              <w:t>$5,207</w:t>
            </w:r>
          </w:p>
        </w:tc>
        <w:tc>
          <w:tcPr>
            <w:tcW w:w="2578" w:type="dxa"/>
            <w:shd w:val="clear" w:color="auto" w:fill="auto"/>
          </w:tcPr>
          <w:p w14:paraId="30D54F41" w14:textId="77777777" w:rsidR="00590EE0" w:rsidRDefault="00590EE0" w:rsidP="00AE327B">
            <w:pPr>
              <w:pStyle w:val="NormalNBRUC"/>
              <w:jc w:val="center"/>
              <w:rPr>
                <w:sz w:val="20"/>
                <w:szCs w:val="20"/>
              </w:rPr>
            </w:pPr>
            <w:r>
              <w:rPr>
                <w:sz w:val="20"/>
                <w:szCs w:val="20"/>
              </w:rPr>
              <w:t>$1,736</w:t>
            </w:r>
          </w:p>
        </w:tc>
      </w:tr>
      <w:tr w:rsidR="00590EE0" w:rsidRPr="008102BB" w14:paraId="1CD8F5AA" w14:textId="77777777" w:rsidTr="00345DB7">
        <w:trPr>
          <w:jc w:val="center"/>
        </w:trPr>
        <w:tc>
          <w:tcPr>
            <w:tcW w:w="3743" w:type="dxa"/>
            <w:shd w:val="clear" w:color="auto" w:fill="auto"/>
          </w:tcPr>
          <w:p w14:paraId="0DCDB55F" w14:textId="77777777" w:rsidR="00590EE0" w:rsidRDefault="00590EE0" w:rsidP="00AE327B">
            <w:pPr>
              <w:pStyle w:val="NormalNBRUC"/>
              <w:jc w:val="left"/>
              <w:rPr>
                <w:sz w:val="20"/>
                <w:szCs w:val="20"/>
              </w:rPr>
            </w:pPr>
            <w:r>
              <w:rPr>
                <w:sz w:val="20"/>
                <w:szCs w:val="20"/>
              </w:rPr>
              <w:t>Bull cost per pregnancy</w:t>
            </w:r>
          </w:p>
        </w:tc>
        <w:tc>
          <w:tcPr>
            <w:tcW w:w="2578" w:type="dxa"/>
            <w:shd w:val="clear" w:color="auto" w:fill="auto"/>
          </w:tcPr>
          <w:p w14:paraId="27B3B8A2" w14:textId="77777777" w:rsidR="00590EE0" w:rsidRDefault="00590EE0" w:rsidP="00AE327B">
            <w:pPr>
              <w:pStyle w:val="NormalNBRUC"/>
              <w:jc w:val="center"/>
              <w:rPr>
                <w:sz w:val="20"/>
                <w:szCs w:val="20"/>
              </w:rPr>
            </w:pPr>
            <w:r>
              <w:rPr>
                <w:sz w:val="20"/>
                <w:szCs w:val="20"/>
              </w:rPr>
              <w:t>$21</w:t>
            </w:r>
          </w:p>
        </w:tc>
        <w:tc>
          <w:tcPr>
            <w:tcW w:w="2578" w:type="dxa"/>
            <w:shd w:val="clear" w:color="auto" w:fill="auto"/>
          </w:tcPr>
          <w:p w14:paraId="34BEF565" w14:textId="77777777" w:rsidR="00590EE0" w:rsidRDefault="00590EE0" w:rsidP="00AE327B">
            <w:pPr>
              <w:pStyle w:val="NormalNBRUC"/>
              <w:jc w:val="center"/>
              <w:rPr>
                <w:sz w:val="20"/>
                <w:szCs w:val="20"/>
              </w:rPr>
            </w:pPr>
            <w:r>
              <w:rPr>
                <w:sz w:val="20"/>
                <w:szCs w:val="20"/>
              </w:rPr>
              <w:t>$7</w:t>
            </w:r>
          </w:p>
        </w:tc>
      </w:tr>
    </w:tbl>
    <w:p w14:paraId="44F79623" w14:textId="77777777" w:rsidR="00590EE0" w:rsidRDefault="00590EE0" w:rsidP="00590EE0">
      <w:pPr>
        <w:pStyle w:val="HeadingsNBRUC"/>
      </w:pPr>
      <w:r>
        <w:t>Discussion and Conclusion</w:t>
      </w:r>
    </w:p>
    <w:p w14:paraId="7884ACFB" w14:textId="53FC0FB9" w:rsidR="00590EE0" w:rsidRPr="00C178AA" w:rsidRDefault="00590EE0" w:rsidP="00BB0FE9">
      <w:pPr>
        <w:pStyle w:val="NormalNBRUC"/>
      </w:pPr>
      <w:r w:rsidRPr="00C178AA">
        <w:t>Reducing the bull number to mate 2.5% of cycling females appeared to have had no negative impact on pregnancies and a saving of $14 per pregnancy.  The business also realised a major short-term saving through reduced capital expenditure on bulls ($24,000) by being able to reduce their bull herd without risk.  In addition, a significant reduction in bulls fighting and broken fences associated with an ease in handling were noted. This demonstration supports recommendations from the Bull Power research and where implemented can achieve substantial short- and long-term savings in costs.</w:t>
      </w:r>
    </w:p>
    <w:p w14:paraId="14ED1ABD" w14:textId="77777777" w:rsidR="00590EE0" w:rsidRDefault="00590EE0" w:rsidP="00590EE0">
      <w:pPr>
        <w:pStyle w:val="HeadingsNBRUC"/>
      </w:pPr>
      <w:r>
        <w:t>References</w:t>
      </w:r>
    </w:p>
    <w:p w14:paraId="7781B00E" w14:textId="454C0C6F" w:rsidR="00E417E4" w:rsidRDefault="00590EE0" w:rsidP="00E417E4">
      <w:pPr>
        <w:pStyle w:val="ReferencesNBRUC"/>
      </w:pPr>
      <w:commentRangeStart w:id="0"/>
      <w:r w:rsidRPr="00610259">
        <w:t xml:space="preserve">Holroyd RG, Bertram J, Fitzpatrick LA, Fordyce G, McGowan MR, </w:t>
      </w:r>
      <w:proofErr w:type="spellStart"/>
      <w:r w:rsidRPr="00610259">
        <w:t>Jayawardhana</w:t>
      </w:r>
      <w:proofErr w:type="spellEnd"/>
      <w:r w:rsidRPr="00610259">
        <w:t xml:space="preserve"> G, Miller R, Doogan VJ, De </w:t>
      </w:r>
      <w:proofErr w:type="spellStart"/>
      <w:r w:rsidRPr="00610259">
        <w:t>Faveri</w:t>
      </w:r>
      <w:proofErr w:type="spellEnd"/>
      <w:r w:rsidRPr="00610259">
        <w:t xml:space="preserve"> J (1998) Bull selection and use in northern Australia (Bull Power). Final Report, Project DAQ.104, Meat Research Corporation, Sydney.</w:t>
      </w:r>
      <w:commentRangeEnd w:id="0"/>
      <w:r w:rsidR="00864F18">
        <w:rPr>
          <w:rStyle w:val="CommentReference"/>
          <w:rFonts w:asciiTheme="minorHAnsi" w:eastAsiaTheme="minorHAnsi" w:hAnsiTheme="minorHAnsi" w:cstheme="minorBidi"/>
          <w:color w:val="auto"/>
        </w:rPr>
        <w:commentReference w:id="0"/>
      </w:r>
    </w:p>
    <w:p w14:paraId="7D6E388F" w14:textId="06428B56" w:rsidR="00113BB7" w:rsidRPr="0073257E" w:rsidRDefault="00BB0FE9" w:rsidP="006105BD">
      <w:pPr>
        <w:pStyle w:val="CorrespondingAuthorNBRUC"/>
      </w:pPr>
      <w:r w:rsidRPr="00610259">
        <w:rPr>
          <w:vertAlign w:val="superscript"/>
        </w:rPr>
        <w:t>D</w:t>
      </w:r>
      <w:r w:rsidR="000902AA">
        <w:rPr>
          <w:vertAlign w:val="superscript"/>
        </w:rPr>
        <w:t xml:space="preserve"> </w:t>
      </w:r>
      <w:r w:rsidRPr="0073257E">
        <w:t>Corresponding author: dave.smith@daf.qld.gov.au</w:t>
      </w:r>
    </w:p>
    <w:sectPr w:rsidR="00113BB7" w:rsidRPr="0073257E" w:rsidSect="00D5630E">
      <w:pgSz w:w="11906" w:h="16838" w:code="9"/>
      <w:pgMar w:top="1418" w:right="1418" w:bottom="1418" w:left="1418"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homas Williams" w:date="2025-07-02T15:00:00Z" w:initials="TW">
    <w:p w14:paraId="4F9B8E00" w14:textId="77777777" w:rsidR="00864F18" w:rsidRDefault="00864F18" w:rsidP="00864F18">
      <w:r>
        <w:rPr>
          <w:rStyle w:val="CommentReference"/>
        </w:rPr>
        <w:annotationRef/>
      </w:r>
      <w:r>
        <w:t>Alternative abbreviated version:</w:t>
      </w:r>
      <w:r>
        <w:br/>
      </w:r>
      <w:r>
        <w:rPr>
          <w:color w:val="000000"/>
        </w:rPr>
        <w:t xml:space="preserve">Holroyd </w:t>
      </w:r>
      <w:r>
        <w:rPr>
          <w:i/>
          <w:iCs/>
          <w:color w:val="000000"/>
        </w:rPr>
        <w:t>et al.</w:t>
      </w:r>
      <w:r>
        <w:rPr>
          <w:color w:val="000000"/>
        </w:rPr>
        <w:t xml:space="preserve"> (1998)  Final Report, Project DAQ.104, Meat Research Corporation, Sydney.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F9B8E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E0E510E" w16cex:dateUtc="2025-07-02T05: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F9B8E00" w16cid:durableId="6E0E51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D833B" w14:textId="77777777" w:rsidR="00585B1B" w:rsidRDefault="00585B1B" w:rsidP="005F6622">
      <w:pPr>
        <w:spacing w:after="0" w:line="240" w:lineRule="auto"/>
      </w:pPr>
      <w:r>
        <w:separator/>
      </w:r>
    </w:p>
  </w:endnote>
  <w:endnote w:type="continuationSeparator" w:id="0">
    <w:p w14:paraId="67E89B6C" w14:textId="77777777" w:rsidR="00585B1B" w:rsidRDefault="00585B1B" w:rsidP="005F6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09E57" w14:textId="77777777" w:rsidR="00585B1B" w:rsidRDefault="00585B1B" w:rsidP="005F6622">
      <w:pPr>
        <w:spacing w:after="0" w:line="240" w:lineRule="auto"/>
      </w:pPr>
      <w:r>
        <w:separator/>
      </w:r>
    </w:p>
  </w:footnote>
  <w:footnote w:type="continuationSeparator" w:id="0">
    <w:p w14:paraId="28B53C70" w14:textId="77777777" w:rsidR="00585B1B" w:rsidRDefault="00585B1B" w:rsidP="005F66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Williams">
    <w15:presenceInfo w15:providerId="AD" w15:userId="S::t.m.williams@cqu.edu.au::2e12ccd6-9c2b-4d4e-8d4b-13c6dd5e44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00758D"/>
    <w:rsid w:val="000902AA"/>
    <w:rsid w:val="000C1FA0"/>
    <w:rsid w:val="000D2692"/>
    <w:rsid w:val="000F0573"/>
    <w:rsid w:val="00107368"/>
    <w:rsid w:val="00113BB7"/>
    <w:rsid w:val="002017E6"/>
    <w:rsid w:val="00210FC8"/>
    <w:rsid w:val="00227128"/>
    <w:rsid w:val="00230B47"/>
    <w:rsid w:val="00294059"/>
    <w:rsid w:val="002D1E1F"/>
    <w:rsid w:val="002E0FEF"/>
    <w:rsid w:val="002E5ADC"/>
    <w:rsid w:val="003206E4"/>
    <w:rsid w:val="00340C3F"/>
    <w:rsid w:val="003631F5"/>
    <w:rsid w:val="003704A5"/>
    <w:rsid w:val="003A6D5C"/>
    <w:rsid w:val="003E6CD3"/>
    <w:rsid w:val="004A51B6"/>
    <w:rsid w:val="004D4BD6"/>
    <w:rsid w:val="004F4679"/>
    <w:rsid w:val="005053C5"/>
    <w:rsid w:val="00510CF8"/>
    <w:rsid w:val="00575A29"/>
    <w:rsid w:val="00585B1B"/>
    <w:rsid w:val="00590EE0"/>
    <w:rsid w:val="005E37B3"/>
    <w:rsid w:val="005F06A9"/>
    <w:rsid w:val="005F0D89"/>
    <w:rsid w:val="005F6622"/>
    <w:rsid w:val="00601754"/>
    <w:rsid w:val="006105BD"/>
    <w:rsid w:val="00660C8D"/>
    <w:rsid w:val="006A34BE"/>
    <w:rsid w:val="006A5C0F"/>
    <w:rsid w:val="006F3F1C"/>
    <w:rsid w:val="007141F2"/>
    <w:rsid w:val="0073257E"/>
    <w:rsid w:val="007561D8"/>
    <w:rsid w:val="00760B1F"/>
    <w:rsid w:val="00795378"/>
    <w:rsid w:val="00796206"/>
    <w:rsid w:val="007C367E"/>
    <w:rsid w:val="008071C5"/>
    <w:rsid w:val="00826242"/>
    <w:rsid w:val="00862821"/>
    <w:rsid w:val="00864F18"/>
    <w:rsid w:val="008E4247"/>
    <w:rsid w:val="00906D34"/>
    <w:rsid w:val="00933DC9"/>
    <w:rsid w:val="00936D4C"/>
    <w:rsid w:val="009523F9"/>
    <w:rsid w:val="009650DF"/>
    <w:rsid w:val="009B1CBB"/>
    <w:rsid w:val="009D5D3B"/>
    <w:rsid w:val="009F0708"/>
    <w:rsid w:val="00A0516D"/>
    <w:rsid w:val="00AE327B"/>
    <w:rsid w:val="00B1595E"/>
    <w:rsid w:val="00B2031B"/>
    <w:rsid w:val="00B271D8"/>
    <w:rsid w:val="00B41F3D"/>
    <w:rsid w:val="00B4721D"/>
    <w:rsid w:val="00B8473A"/>
    <w:rsid w:val="00BB0FE9"/>
    <w:rsid w:val="00BB6053"/>
    <w:rsid w:val="00BD56D8"/>
    <w:rsid w:val="00C16616"/>
    <w:rsid w:val="00C21815"/>
    <w:rsid w:val="00C315D2"/>
    <w:rsid w:val="00C353D8"/>
    <w:rsid w:val="00C37A24"/>
    <w:rsid w:val="00C55BA9"/>
    <w:rsid w:val="00C74DF4"/>
    <w:rsid w:val="00CF5A91"/>
    <w:rsid w:val="00D02BB1"/>
    <w:rsid w:val="00D039E7"/>
    <w:rsid w:val="00D03FD1"/>
    <w:rsid w:val="00D11782"/>
    <w:rsid w:val="00D45A74"/>
    <w:rsid w:val="00D5630E"/>
    <w:rsid w:val="00D644C0"/>
    <w:rsid w:val="00D7428F"/>
    <w:rsid w:val="00DB25B8"/>
    <w:rsid w:val="00DD3D5F"/>
    <w:rsid w:val="00E417E4"/>
    <w:rsid w:val="00EC3746"/>
    <w:rsid w:val="00F44DB5"/>
    <w:rsid w:val="00F46EBE"/>
    <w:rsid w:val="00F539FB"/>
    <w:rsid w:val="00F7582F"/>
    <w:rsid w:val="00F77866"/>
    <w:rsid w:val="00F85528"/>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0C3F"/>
  </w:style>
  <w:style w:type="paragraph" w:styleId="Heading1">
    <w:name w:val="heading 1"/>
    <w:basedOn w:val="Normal"/>
    <w:next w:val="Normal"/>
    <w:link w:val="Heading1Char"/>
    <w:uiPriority w:val="9"/>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customStyle="1" w:styleId="AuthorNBRUC">
    <w:name w:val="***Author NBRUC***"/>
    <w:basedOn w:val="Normal"/>
    <w:next w:val="Normal"/>
    <w:autoRedefine/>
    <w:qFormat/>
    <w:rsid w:val="00C16616"/>
    <w:pPr>
      <w:spacing w:after="0" w:line="240" w:lineRule="auto"/>
      <w:jc w:val="center"/>
    </w:pPr>
    <w:rPr>
      <w:rFonts w:ascii="Calibri" w:eastAsia="Times New Roman" w:hAnsi="Calibri" w:cs="Times New Roman"/>
      <w:i/>
      <w:kern w:val="0"/>
      <w:sz w:val="20"/>
      <w:szCs w:val="20"/>
      <w14:ligatures w14:val="none"/>
    </w:rPr>
  </w:style>
  <w:style w:type="paragraph" w:customStyle="1" w:styleId="NormalNBRUC">
    <w:name w:val="***Normal NBRUC***"/>
    <w:basedOn w:val="Normal"/>
    <w:link w:val="NormalNBRUCChar"/>
    <w:qFormat/>
    <w:rsid w:val="006A5C0F"/>
    <w:pPr>
      <w:autoSpaceDE w:val="0"/>
      <w:autoSpaceDN w:val="0"/>
      <w:adjustRightInd w:val="0"/>
      <w:spacing w:after="0" w:line="240" w:lineRule="auto"/>
      <w:ind w:firstLine="284"/>
      <w:jc w:val="both"/>
    </w:pPr>
    <w:rPr>
      <w:rFonts w:ascii="Calibri" w:eastAsia="Calibri" w:hAnsi="Calibri" w:cs="Calibri"/>
      <w:color w:val="000000"/>
      <w:kern w:val="0"/>
      <w:sz w:val="22"/>
      <w14:ligatures w14:val="none"/>
    </w:rPr>
  </w:style>
  <w:style w:type="character" w:customStyle="1" w:styleId="NormalNBRUCChar">
    <w:name w:val="***Normal NBRUC*** Char"/>
    <w:link w:val="NormalNBRUC"/>
    <w:rsid w:val="006A5C0F"/>
    <w:rPr>
      <w:rFonts w:ascii="Calibri" w:eastAsia="Calibri" w:hAnsi="Calibri" w:cs="Calibri"/>
      <w:color w:val="000000"/>
      <w:kern w:val="0"/>
      <w:sz w:val="22"/>
      <w14:ligatures w14:val="none"/>
    </w:rPr>
  </w:style>
  <w:style w:type="paragraph" w:customStyle="1" w:styleId="HeadingsNBRUC">
    <w:name w:val="***Headings NBRUC***"/>
    <w:next w:val="NormalNBRUC"/>
    <w:link w:val="HeadingsNBRUCChar"/>
    <w:qFormat/>
    <w:rsid w:val="00826242"/>
    <w:pPr>
      <w:spacing w:before="140" w:after="0"/>
      <w:jc w:val="both"/>
    </w:pPr>
    <w:rPr>
      <w:rFonts w:ascii="Calibri" w:eastAsia="Calibri" w:hAnsi="Calibri" w:cs="Calibri"/>
      <w:b/>
      <w:color w:val="000000"/>
      <w:kern w:val="0"/>
      <w14:ligatures w14:val="none"/>
    </w:rPr>
  </w:style>
  <w:style w:type="character" w:customStyle="1" w:styleId="HeadingsNBRUCChar">
    <w:name w:val="***Headings NBRUC*** Char"/>
    <w:link w:val="HeadingsNBRUC"/>
    <w:rsid w:val="00826242"/>
    <w:rPr>
      <w:rFonts w:ascii="Calibri" w:eastAsia="Calibri" w:hAnsi="Calibri" w:cs="Calibri"/>
      <w:b/>
      <w:color w:val="000000"/>
      <w:kern w:val="0"/>
      <w14:ligatures w14:val="none"/>
    </w:rPr>
  </w:style>
  <w:style w:type="paragraph" w:customStyle="1" w:styleId="PaperTitleNBRUC">
    <w:name w:val="***Paper Title NBRUC***"/>
    <w:basedOn w:val="Normal"/>
    <w:qFormat/>
    <w:rsid w:val="00D644C0"/>
    <w:pPr>
      <w:spacing w:after="120" w:line="240" w:lineRule="auto"/>
      <w:jc w:val="center"/>
    </w:pPr>
    <w:rPr>
      <w:rFonts w:ascii="Calibri" w:eastAsia="Times New Roman" w:hAnsi="Calibri" w:cs="Times New Roman"/>
      <w:b/>
      <w:kern w:val="0"/>
      <w:sz w:val="28"/>
      <w:lang w:eastAsia="en-AU"/>
      <w14:ligatures w14:val="none"/>
    </w:rPr>
  </w:style>
  <w:style w:type="paragraph" w:styleId="Header">
    <w:name w:val="header"/>
    <w:basedOn w:val="Normal"/>
    <w:link w:val="HeaderChar"/>
    <w:uiPriority w:val="99"/>
    <w:unhideWhenUsed/>
    <w:rsid w:val="005F66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622"/>
  </w:style>
  <w:style w:type="paragraph" w:styleId="Footer">
    <w:name w:val="footer"/>
    <w:basedOn w:val="Normal"/>
    <w:link w:val="FooterChar"/>
    <w:uiPriority w:val="99"/>
    <w:unhideWhenUsed/>
    <w:rsid w:val="005F6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622"/>
  </w:style>
  <w:style w:type="paragraph" w:customStyle="1" w:styleId="FigureTableHeadingsNBRUC">
    <w:name w:val="***Figure/Table Headings NBRUC***"/>
    <w:basedOn w:val="HeadingsNBRUC"/>
    <w:qFormat/>
    <w:rsid w:val="00D039E7"/>
    <w:pPr>
      <w:ind w:firstLine="284"/>
    </w:pPr>
    <w:rPr>
      <w:sz w:val="22"/>
    </w:rPr>
  </w:style>
  <w:style w:type="paragraph" w:customStyle="1" w:styleId="ReferencesNBRUC">
    <w:name w:val="***References NBRUC***"/>
    <w:basedOn w:val="Normal"/>
    <w:qFormat/>
    <w:rsid w:val="00C55BA9"/>
    <w:pPr>
      <w:widowControl w:val="0"/>
      <w:spacing w:after="0" w:line="240" w:lineRule="auto"/>
      <w:jc w:val="both"/>
    </w:pPr>
    <w:rPr>
      <w:rFonts w:ascii="Calibri" w:eastAsia="Calibri" w:hAnsi="Calibri" w:cs="Calibri"/>
      <w:color w:val="000000"/>
      <w:sz w:val="20"/>
    </w:rPr>
  </w:style>
  <w:style w:type="paragraph" w:customStyle="1" w:styleId="CorrespondingAuthorNBRUC">
    <w:name w:val="***Corresponding Author NBRUC***"/>
    <w:basedOn w:val="ReferencesNBRUC"/>
    <w:qFormat/>
    <w:rsid w:val="0073257E"/>
    <w:pPr>
      <w:spacing w:before="140"/>
    </w:pPr>
  </w:style>
  <w:style w:type="character" w:styleId="CommentReference">
    <w:name w:val="annotation reference"/>
    <w:basedOn w:val="DefaultParagraphFont"/>
    <w:uiPriority w:val="99"/>
    <w:semiHidden/>
    <w:unhideWhenUsed/>
    <w:rsid w:val="00864F18"/>
    <w:rPr>
      <w:sz w:val="16"/>
      <w:szCs w:val="16"/>
    </w:rPr>
  </w:style>
  <w:style w:type="paragraph" w:styleId="CommentSubject">
    <w:name w:val="annotation subject"/>
    <w:basedOn w:val="Normal"/>
    <w:next w:val="Normal"/>
    <w:link w:val="CommentSubjectChar"/>
    <w:uiPriority w:val="99"/>
    <w:semiHidden/>
    <w:unhideWhenUsed/>
    <w:rsid w:val="00AE327B"/>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AE327B"/>
    <w:rPr>
      <w:b/>
      <w:bC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customStyle="1" w:styleId="AffliationsNBRUC">
    <w:name w:val="***Affliations NBRUC***"/>
    <w:basedOn w:val="AuthorNBRUC"/>
    <w:rsid w:val="00C16616"/>
    <w:pPr>
      <w:spacing w:before="140"/>
    </w:pPr>
    <w:rPr>
      <w:i w:val="0"/>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2.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3.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90540ad-24f6-4603-bebb-fc2239ec787a}" enabled="1" method="Privileged" siteId="{fdade0c4-3fea-4320-ae53-1a1742aeff1e}"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Zoe Keogh</cp:lastModifiedBy>
  <cp:revision>2</cp:revision>
  <dcterms:created xsi:type="dcterms:W3CDTF">2025-07-02T22:30:00Z</dcterms:created>
  <dcterms:modified xsi:type="dcterms:W3CDTF">2025-07-02T22:30:00Z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